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71" w:rsidRDefault="00471F66" w:rsidP="000E650E">
      <w:pPr>
        <w:spacing w:after="0"/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Formato de Conciliación entre los ingresos presupuestarios y contables, así como entre los egresos presupuestarios y los gastos contables</w:t>
      </w:r>
    </w:p>
    <w:p w:rsidR="00E3352E" w:rsidRDefault="00E3352E" w:rsidP="00E3352E">
      <w:pPr>
        <w:spacing w:after="0"/>
        <w:jc w:val="center"/>
        <w:rPr>
          <w:rFonts w:ascii="Segoe UI" w:hAnsi="Segoe UI" w:cs="Segoe UI"/>
          <w:b/>
        </w:rPr>
      </w:pPr>
    </w:p>
    <w:p w:rsidR="00471F66" w:rsidRDefault="00471F66" w:rsidP="00471F66">
      <w:pPr>
        <w:spacing w:after="0"/>
        <w:jc w:val="both"/>
        <w:rPr>
          <w:rFonts w:ascii="Segoe UI" w:hAnsi="Segoe UI" w:cs="Segoe UI"/>
        </w:rPr>
      </w:pPr>
      <w:r w:rsidRPr="00471F66">
        <w:rPr>
          <w:rFonts w:ascii="Segoe UI" w:hAnsi="Segoe UI" w:cs="Segoe UI"/>
        </w:rPr>
        <w:t>La conciliación se generará de forma periódica,</w:t>
      </w:r>
      <w:r>
        <w:rPr>
          <w:rFonts w:ascii="Segoe UI" w:hAnsi="Segoe UI" w:cs="Segoe UI"/>
        </w:rPr>
        <w:t xml:space="preserve"> </w:t>
      </w:r>
      <w:r w:rsidRPr="00471F66">
        <w:rPr>
          <w:rFonts w:ascii="Segoe UI" w:hAnsi="Segoe UI" w:cs="Segoe UI"/>
        </w:rPr>
        <w:t>cuando menos en la Cuenta Pública, en la que se presentará en las Notas al Estado de Actividades</w:t>
      </w:r>
      <w:r>
        <w:rPr>
          <w:rFonts w:ascii="Segoe UI" w:hAnsi="Segoe UI" w:cs="Segoe UI"/>
        </w:rPr>
        <w:t xml:space="preserve"> </w:t>
      </w:r>
      <w:r w:rsidRPr="00471F66">
        <w:rPr>
          <w:rFonts w:ascii="Segoe UI" w:hAnsi="Segoe UI" w:cs="Segoe UI"/>
        </w:rPr>
        <w:t>correspondiente a las Notas de Desglose de las Notas a los Estados Financieros.</w:t>
      </w:r>
    </w:p>
    <w:p w:rsidR="00471F66" w:rsidRDefault="00471F66" w:rsidP="006D33B4">
      <w:pPr>
        <w:spacing w:after="0"/>
        <w:jc w:val="both"/>
        <w:rPr>
          <w:rFonts w:ascii="Segoe UI" w:hAnsi="Segoe UI" w:cs="Segoe UI"/>
        </w:rPr>
      </w:pPr>
    </w:p>
    <w:p w:rsidR="00471F66" w:rsidRDefault="00471F66" w:rsidP="00471F66">
      <w:pPr>
        <w:spacing w:after="0"/>
        <w:jc w:val="both"/>
        <w:rPr>
          <w:rFonts w:ascii="Segoe UI" w:hAnsi="Segoe UI" w:cs="Segoe UI"/>
          <w:b/>
        </w:rPr>
      </w:pPr>
      <w:r w:rsidRPr="00471F66">
        <w:rPr>
          <w:rFonts w:ascii="Segoe UI" w:hAnsi="Segoe UI" w:cs="Segoe UI"/>
          <w:b/>
        </w:rPr>
        <w:t>Precisiones al formato de conciliación de ingresos</w:t>
      </w:r>
    </w:p>
    <w:p w:rsidR="00471F66" w:rsidRPr="00471F66" w:rsidRDefault="00471F66" w:rsidP="00471F66">
      <w:pPr>
        <w:spacing w:after="0"/>
        <w:jc w:val="both"/>
        <w:rPr>
          <w:rFonts w:ascii="Segoe UI" w:hAnsi="Segoe UI" w:cs="Segoe UI"/>
          <w:b/>
        </w:rPr>
      </w:pPr>
    </w:p>
    <w:p w:rsidR="00471F66" w:rsidRDefault="00471F66" w:rsidP="00471F66">
      <w:pPr>
        <w:pStyle w:val="Prrafodelista"/>
        <w:numPr>
          <w:ilvl w:val="0"/>
          <w:numId w:val="1"/>
        </w:numPr>
        <w:spacing w:after="0"/>
        <w:jc w:val="both"/>
        <w:rPr>
          <w:rFonts w:ascii="Segoe UI" w:hAnsi="Segoe UI" w:cs="Segoe UI"/>
        </w:rPr>
      </w:pPr>
      <w:r w:rsidRPr="00471F66">
        <w:rPr>
          <w:rFonts w:ascii="Segoe UI" w:hAnsi="Segoe UI" w:cs="Segoe UI"/>
        </w:rPr>
        <w:t>Ingresos presupuestarios. Importe total de los ingresos devengados en el estado analítico de ingresos (presupuestario).</w:t>
      </w:r>
    </w:p>
    <w:p w:rsidR="00471F66" w:rsidRDefault="00471F66" w:rsidP="00471F66">
      <w:pPr>
        <w:pStyle w:val="Prrafodelista"/>
        <w:numPr>
          <w:ilvl w:val="0"/>
          <w:numId w:val="1"/>
        </w:numPr>
        <w:spacing w:after="0"/>
        <w:jc w:val="both"/>
        <w:rPr>
          <w:rFonts w:ascii="Segoe UI" w:hAnsi="Segoe UI" w:cs="Segoe UI"/>
        </w:rPr>
      </w:pPr>
      <w:r w:rsidRPr="00471F66">
        <w:rPr>
          <w:rFonts w:ascii="Segoe UI" w:hAnsi="Segoe UI" w:cs="Segoe UI"/>
        </w:rPr>
        <w:t xml:space="preserve">Ingresos contables no presupuestarios. Representa el importe total de los ingresos contables que no tienen efectos presupuestarios. </w:t>
      </w:r>
    </w:p>
    <w:p w:rsidR="00471F66" w:rsidRDefault="00471F66" w:rsidP="00471F66">
      <w:pPr>
        <w:pStyle w:val="Prrafodelista"/>
        <w:numPr>
          <w:ilvl w:val="0"/>
          <w:numId w:val="1"/>
        </w:numPr>
        <w:spacing w:after="0"/>
        <w:jc w:val="both"/>
        <w:rPr>
          <w:rFonts w:ascii="Segoe UI" w:hAnsi="Segoe UI" w:cs="Segoe UI"/>
        </w:rPr>
      </w:pPr>
      <w:r w:rsidRPr="00471F66">
        <w:rPr>
          <w:rFonts w:ascii="Segoe UI" w:hAnsi="Segoe UI" w:cs="Segoe UI"/>
        </w:rPr>
        <w:t xml:space="preserve">Ingresos presupuestarios no contables. Representa el importe total de los ingresos presupuestarios que no tienen efectos en los ingresos contables. </w:t>
      </w:r>
    </w:p>
    <w:p w:rsidR="00471F66" w:rsidRPr="00471F66" w:rsidRDefault="00471F66" w:rsidP="00471F66">
      <w:pPr>
        <w:pStyle w:val="Prrafodelista"/>
        <w:numPr>
          <w:ilvl w:val="0"/>
          <w:numId w:val="1"/>
        </w:numPr>
        <w:spacing w:after="0"/>
        <w:jc w:val="both"/>
        <w:rPr>
          <w:rFonts w:ascii="Segoe UI" w:hAnsi="Segoe UI" w:cs="Segoe UI"/>
        </w:rPr>
      </w:pPr>
      <w:r w:rsidRPr="00471F66">
        <w:rPr>
          <w:rFonts w:ascii="Segoe UI" w:hAnsi="Segoe UI" w:cs="Segoe UI"/>
        </w:rPr>
        <w:t>Ingresos contables. Importe total de los ingresos reflejados en el estado de actividades.</w:t>
      </w:r>
    </w:p>
    <w:p w:rsidR="006D33B4" w:rsidRPr="006D33B4" w:rsidRDefault="006D33B4" w:rsidP="006D33B4">
      <w:pPr>
        <w:spacing w:after="0"/>
        <w:jc w:val="both"/>
        <w:rPr>
          <w:rFonts w:ascii="Segoe UI" w:hAnsi="Segoe UI" w:cs="Segoe UI"/>
          <w:sz w:val="16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504"/>
        <w:gridCol w:w="2267"/>
        <w:gridCol w:w="2283"/>
      </w:tblGrid>
      <w:tr w:rsidR="00471F66" w:rsidTr="00471F66">
        <w:trPr>
          <w:trHeight w:val="1403"/>
          <w:tblHeader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471F66" w:rsidRPr="00471F66" w:rsidRDefault="00471F66" w:rsidP="00471F66">
            <w:pPr>
              <w:jc w:val="center"/>
              <w:rPr>
                <w:rFonts w:ascii="Segoe UI" w:hAnsi="Segoe UI" w:cs="Segoe UI"/>
                <w:b/>
              </w:rPr>
            </w:pPr>
            <w:r w:rsidRPr="00471F66">
              <w:rPr>
                <w:rFonts w:ascii="Segoe UI" w:hAnsi="Segoe UI" w:cs="Segoe UI"/>
                <w:b/>
              </w:rPr>
              <w:t>Nombre del Ente Público</w:t>
            </w:r>
          </w:p>
          <w:p w:rsidR="00471F66" w:rsidRPr="00471F66" w:rsidRDefault="00471F66" w:rsidP="00471F66">
            <w:pPr>
              <w:jc w:val="center"/>
              <w:rPr>
                <w:rFonts w:ascii="Segoe UI" w:hAnsi="Segoe UI" w:cs="Segoe UI"/>
                <w:b/>
              </w:rPr>
            </w:pPr>
            <w:r w:rsidRPr="00471F66">
              <w:rPr>
                <w:rFonts w:ascii="Segoe UI" w:hAnsi="Segoe UI" w:cs="Segoe UI"/>
                <w:b/>
              </w:rPr>
              <w:t>Conciliación entre los Ingresos Presupuestarios y Contables</w:t>
            </w:r>
          </w:p>
          <w:p w:rsidR="00471F66" w:rsidRPr="00471F66" w:rsidRDefault="00471F66" w:rsidP="00471F66">
            <w:pPr>
              <w:jc w:val="center"/>
              <w:rPr>
                <w:rFonts w:ascii="Segoe UI" w:hAnsi="Segoe UI" w:cs="Segoe UI"/>
                <w:b/>
              </w:rPr>
            </w:pPr>
            <w:r w:rsidRPr="00471F66">
              <w:rPr>
                <w:rFonts w:ascii="Segoe UI" w:hAnsi="Segoe UI" w:cs="Segoe UI"/>
                <w:b/>
              </w:rPr>
              <w:t>Correspondiente del XXXX al XXXX</w:t>
            </w:r>
          </w:p>
          <w:p w:rsidR="00471F66" w:rsidRDefault="00471F66" w:rsidP="00471F66">
            <w:pPr>
              <w:jc w:val="center"/>
              <w:rPr>
                <w:rFonts w:ascii="Segoe UI" w:hAnsi="Segoe UI" w:cs="Segoe UI"/>
                <w:b/>
              </w:rPr>
            </w:pPr>
            <w:r w:rsidRPr="00471F66">
              <w:rPr>
                <w:rFonts w:ascii="Segoe UI" w:hAnsi="Segoe UI" w:cs="Segoe UI"/>
                <w:b/>
              </w:rPr>
              <w:t>(Cifras en pesos)</w:t>
            </w:r>
          </w:p>
        </w:tc>
      </w:tr>
      <w:tr w:rsidR="00471F66" w:rsidTr="00471F66">
        <w:trPr>
          <w:trHeight w:val="567"/>
        </w:trPr>
        <w:tc>
          <w:tcPr>
            <w:tcW w:w="3739" w:type="pct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71F66" w:rsidRDefault="00471F66" w:rsidP="00471F66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1. Ingresos Presupuestarios</w:t>
            </w:r>
          </w:p>
        </w:tc>
        <w:tc>
          <w:tcPr>
            <w:tcW w:w="1261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71F66" w:rsidRDefault="00471F66" w:rsidP="00471F66">
            <w:pPr>
              <w:jc w:val="center"/>
              <w:rPr>
                <w:rFonts w:ascii="Segoe UI" w:hAnsi="Segoe UI" w:cs="Segoe UI"/>
                <w:b/>
              </w:rPr>
            </w:pPr>
            <w:r w:rsidRPr="00471F66">
              <w:rPr>
                <w:rFonts w:ascii="Segoe UI" w:hAnsi="Segoe UI" w:cs="Segoe UI"/>
                <w:b/>
              </w:rPr>
              <w:t>$XXX</w:t>
            </w:r>
          </w:p>
        </w:tc>
      </w:tr>
      <w:tr w:rsidR="00471F66" w:rsidRPr="008404AF" w:rsidTr="00471F66">
        <w:trPr>
          <w:trHeight w:val="340"/>
        </w:trPr>
        <w:tc>
          <w:tcPr>
            <w:tcW w:w="2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71F66" w:rsidRPr="008404AF" w:rsidTr="00471F66">
        <w:trPr>
          <w:trHeight w:val="624"/>
        </w:trPr>
        <w:tc>
          <w:tcPr>
            <w:tcW w:w="37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b/>
                <w:sz w:val="20"/>
                <w:szCs w:val="20"/>
              </w:rPr>
              <w:t>2. Más ingresos contables no presupuestarios</w:t>
            </w:r>
          </w:p>
        </w:tc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F66" w:rsidRPr="00DD46B4" w:rsidRDefault="00471F66" w:rsidP="00471F66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b/>
                <w:sz w:val="20"/>
                <w:szCs w:val="20"/>
              </w:rPr>
              <w:t>$XXX</w:t>
            </w: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tcBorders>
              <w:top w:val="single" w:sz="4" w:space="0" w:color="auto"/>
            </w:tcBorders>
            <w:vAlign w:val="center"/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Incremento por variación de inventarios</w:t>
            </w:r>
          </w:p>
        </w:tc>
        <w:tc>
          <w:tcPr>
            <w:tcW w:w="125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vAlign w:val="center"/>
          </w:tcPr>
          <w:p w:rsidR="00471F66" w:rsidRPr="00471F66" w:rsidRDefault="00471F66" w:rsidP="00471F66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Disminución del exceso de estimaciones por</w:t>
            </w:r>
          </w:p>
          <w:p w:rsidR="00471F66" w:rsidRPr="006D33B4" w:rsidRDefault="00471F66" w:rsidP="00471F66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pérdida o deterioro u obsolescencia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vAlign w:val="center"/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Disminución del exceso de provisiones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vAlign w:val="center"/>
          </w:tcPr>
          <w:p w:rsidR="00471F66" w:rsidRPr="00471F66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Otros ingresos y beneficios varios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tcBorders>
              <w:bottom w:val="single" w:sz="4" w:space="0" w:color="auto"/>
            </w:tcBorders>
            <w:vAlign w:val="center"/>
          </w:tcPr>
          <w:p w:rsidR="00471F66" w:rsidRPr="00471F66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Otros ingresos contables no presupuestarios</w:t>
            </w:r>
          </w:p>
        </w:tc>
        <w:tc>
          <w:tcPr>
            <w:tcW w:w="125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6D33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8404AF" w:rsidTr="0050576A">
        <w:trPr>
          <w:trHeight w:val="340"/>
        </w:trPr>
        <w:tc>
          <w:tcPr>
            <w:tcW w:w="24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71F66" w:rsidRPr="008404AF" w:rsidTr="0050576A">
        <w:trPr>
          <w:trHeight w:val="624"/>
        </w:trPr>
        <w:tc>
          <w:tcPr>
            <w:tcW w:w="3739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3. Menos ingresos presupuestarios no contables</w:t>
            </w:r>
          </w:p>
        </w:tc>
        <w:tc>
          <w:tcPr>
            <w:tcW w:w="1261" w:type="pct"/>
            <w:tcBorders>
              <w:top w:val="nil"/>
              <w:bottom w:val="single" w:sz="4" w:space="0" w:color="auto"/>
            </w:tcBorders>
            <w:vAlign w:val="center"/>
          </w:tcPr>
          <w:p w:rsidR="00471F66" w:rsidRPr="00DD46B4" w:rsidRDefault="00471F66" w:rsidP="008F60E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b/>
                <w:sz w:val="20"/>
                <w:szCs w:val="20"/>
              </w:rPr>
              <w:t>$XXX</w:t>
            </w: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tcBorders>
              <w:top w:val="single" w:sz="4" w:space="0" w:color="auto"/>
            </w:tcBorders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Productos de capita</w:t>
            </w:r>
            <w:r>
              <w:rPr>
                <w:rFonts w:ascii="Segoe UI" w:hAnsi="Segoe UI" w:cs="Segoe UI"/>
                <w:sz w:val="20"/>
                <w:szCs w:val="20"/>
              </w:rPr>
              <w:t>l</w:t>
            </w:r>
          </w:p>
        </w:tc>
        <w:tc>
          <w:tcPr>
            <w:tcW w:w="125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Aprovechamientos capital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Ingresos derivados de financiamientos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9222E7" w:rsidTr="00471F66">
        <w:trPr>
          <w:trHeight w:val="624"/>
        </w:trPr>
        <w:tc>
          <w:tcPr>
            <w:tcW w:w="2487" w:type="pct"/>
            <w:tcBorders>
              <w:bottom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Otros Ingresos presupuestarios no contables</w:t>
            </w:r>
          </w:p>
        </w:tc>
        <w:tc>
          <w:tcPr>
            <w:tcW w:w="125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71F66" w:rsidRPr="008404AF" w:rsidTr="00471F66">
        <w:trPr>
          <w:trHeight w:val="340"/>
        </w:trPr>
        <w:tc>
          <w:tcPr>
            <w:tcW w:w="2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71F66" w:rsidRPr="008404AF" w:rsidTr="00471F66">
        <w:trPr>
          <w:trHeight w:val="624"/>
        </w:trPr>
        <w:tc>
          <w:tcPr>
            <w:tcW w:w="3739" w:type="pct"/>
            <w:gridSpan w:val="2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71F66" w:rsidRPr="006D33B4" w:rsidRDefault="00471F66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b/>
                <w:sz w:val="20"/>
                <w:szCs w:val="20"/>
              </w:rPr>
              <w:t>4. Ingresos Contables (4 = 1 + 2 - 3)</w:t>
            </w:r>
          </w:p>
        </w:tc>
        <w:tc>
          <w:tcPr>
            <w:tcW w:w="1261" w:type="pct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71F66" w:rsidRPr="00471F66" w:rsidRDefault="00471F66" w:rsidP="008F60E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b/>
                <w:sz w:val="20"/>
                <w:szCs w:val="20"/>
              </w:rPr>
              <w:t>$XXX</w:t>
            </w:r>
          </w:p>
        </w:tc>
      </w:tr>
    </w:tbl>
    <w:p w:rsidR="00E3352E" w:rsidRDefault="00E3352E" w:rsidP="00E3352E">
      <w:pPr>
        <w:jc w:val="center"/>
        <w:rPr>
          <w:rFonts w:ascii="Segoe UI" w:hAnsi="Segoe UI" w:cs="Segoe UI"/>
          <w:b/>
        </w:rPr>
      </w:pPr>
    </w:p>
    <w:p w:rsidR="0050576A" w:rsidRPr="0050576A" w:rsidRDefault="0050576A" w:rsidP="0050576A">
      <w:pPr>
        <w:rPr>
          <w:rFonts w:ascii="Segoe UI" w:hAnsi="Segoe UI" w:cs="Segoe UI"/>
          <w:b/>
        </w:rPr>
      </w:pPr>
      <w:r w:rsidRPr="0050576A">
        <w:rPr>
          <w:rFonts w:ascii="Segoe UI" w:hAnsi="Segoe UI" w:cs="Segoe UI"/>
          <w:b/>
        </w:rPr>
        <w:t>Precisiones al formato de conciliación de egresos – gastos</w:t>
      </w:r>
    </w:p>
    <w:p w:rsidR="0050576A" w:rsidRDefault="0050576A" w:rsidP="00896792">
      <w:pPr>
        <w:pStyle w:val="Prrafodelista"/>
        <w:numPr>
          <w:ilvl w:val="0"/>
          <w:numId w:val="3"/>
        </w:numPr>
        <w:jc w:val="both"/>
        <w:rPr>
          <w:rFonts w:ascii="Segoe UI" w:hAnsi="Segoe UI" w:cs="Segoe UI"/>
        </w:rPr>
      </w:pPr>
      <w:r w:rsidRPr="0050576A">
        <w:rPr>
          <w:rFonts w:ascii="Segoe UI" w:hAnsi="Segoe UI" w:cs="Segoe UI"/>
        </w:rPr>
        <w:t xml:space="preserve">Egresos presupuestarios. Importe total de los egresos devengados en el estado analítico de egresos (presupuestario). </w:t>
      </w:r>
    </w:p>
    <w:p w:rsidR="0050576A" w:rsidRDefault="0050576A" w:rsidP="00896792">
      <w:pPr>
        <w:pStyle w:val="Prrafodelista"/>
        <w:numPr>
          <w:ilvl w:val="0"/>
          <w:numId w:val="3"/>
        </w:numPr>
        <w:jc w:val="both"/>
        <w:rPr>
          <w:rFonts w:ascii="Segoe UI" w:hAnsi="Segoe UI" w:cs="Segoe UI"/>
        </w:rPr>
      </w:pPr>
      <w:r w:rsidRPr="0050576A">
        <w:rPr>
          <w:rFonts w:ascii="Segoe UI" w:hAnsi="Segoe UI" w:cs="Segoe UI"/>
        </w:rPr>
        <w:t xml:space="preserve">Gastos contables no presupuestarios. Representa el importe total de los gastos contables que no tienen efectos presupuestarios. </w:t>
      </w:r>
    </w:p>
    <w:p w:rsidR="0050576A" w:rsidRPr="0050576A" w:rsidRDefault="0050576A" w:rsidP="00896792">
      <w:pPr>
        <w:pStyle w:val="Prrafodelista"/>
        <w:numPr>
          <w:ilvl w:val="0"/>
          <w:numId w:val="3"/>
        </w:numPr>
        <w:jc w:val="both"/>
        <w:rPr>
          <w:rFonts w:ascii="Segoe UI" w:hAnsi="Segoe UI" w:cs="Segoe UI"/>
          <w:b/>
        </w:rPr>
      </w:pPr>
      <w:r w:rsidRPr="0050576A">
        <w:rPr>
          <w:rFonts w:ascii="Segoe UI" w:hAnsi="Segoe UI" w:cs="Segoe UI"/>
        </w:rPr>
        <w:t xml:space="preserve">Egresos presupuestarios no contables. Representa el importe total de los egresos presupuestarios que no tienen efectos en los gastos contables. </w:t>
      </w:r>
    </w:p>
    <w:p w:rsidR="00CD3624" w:rsidRPr="00DD46B4" w:rsidRDefault="0050576A" w:rsidP="00DD46B4">
      <w:pPr>
        <w:pStyle w:val="Prrafodelista"/>
        <w:numPr>
          <w:ilvl w:val="0"/>
          <w:numId w:val="3"/>
        </w:numPr>
        <w:spacing w:after="0"/>
        <w:jc w:val="both"/>
        <w:rPr>
          <w:rFonts w:ascii="Segoe UI" w:hAnsi="Segoe UI" w:cs="Segoe UI"/>
          <w:b/>
        </w:rPr>
      </w:pPr>
      <w:r w:rsidRPr="0050576A">
        <w:rPr>
          <w:rFonts w:ascii="Segoe UI" w:hAnsi="Segoe UI" w:cs="Segoe UI"/>
        </w:rPr>
        <w:t>Gastos contables. Importe total de los gastos reflejados en el estado de actividades.</w:t>
      </w:r>
    </w:p>
    <w:p w:rsidR="00DD46B4" w:rsidRPr="0050576A" w:rsidRDefault="00DD46B4" w:rsidP="00DD46B4">
      <w:pPr>
        <w:pStyle w:val="Prrafodelista"/>
        <w:spacing w:after="0"/>
        <w:jc w:val="both"/>
        <w:rPr>
          <w:rFonts w:ascii="Segoe UI" w:hAnsi="Segoe UI" w:cs="Segoe UI"/>
          <w:b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504"/>
        <w:gridCol w:w="2267"/>
        <w:gridCol w:w="2283"/>
      </w:tblGrid>
      <w:tr w:rsidR="00DD46B4" w:rsidTr="00DD46B4">
        <w:trPr>
          <w:trHeight w:val="1138"/>
          <w:tblHeader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DD46B4" w:rsidRPr="00DD46B4" w:rsidRDefault="00DD46B4" w:rsidP="00DD46B4">
            <w:pPr>
              <w:jc w:val="center"/>
              <w:rPr>
                <w:rFonts w:ascii="Segoe UI" w:hAnsi="Segoe UI" w:cs="Segoe UI"/>
                <w:b/>
              </w:rPr>
            </w:pPr>
            <w:r w:rsidRPr="00DD46B4">
              <w:rPr>
                <w:rFonts w:ascii="Segoe UI" w:hAnsi="Segoe UI" w:cs="Segoe UI"/>
                <w:b/>
              </w:rPr>
              <w:t>Nombre del Ente Público</w:t>
            </w:r>
          </w:p>
          <w:p w:rsidR="00DD46B4" w:rsidRPr="00DD46B4" w:rsidRDefault="00DD46B4" w:rsidP="00DD46B4">
            <w:pPr>
              <w:jc w:val="center"/>
              <w:rPr>
                <w:rFonts w:ascii="Segoe UI" w:hAnsi="Segoe UI" w:cs="Segoe UI"/>
                <w:b/>
              </w:rPr>
            </w:pPr>
            <w:r w:rsidRPr="00DD46B4">
              <w:rPr>
                <w:rFonts w:ascii="Segoe UI" w:hAnsi="Segoe UI" w:cs="Segoe UI"/>
                <w:b/>
              </w:rPr>
              <w:t>Conciliación entre los Egresos Presupuestarios y los Gastos Contables</w:t>
            </w:r>
          </w:p>
          <w:p w:rsidR="00DD46B4" w:rsidRDefault="00DD46B4" w:rsidP="00DD46B4">
            <w:pPr>
              <w:jc w:val="center"/>
              <w:rPr>
                <w:rFonts w:ascii="Segoe UI" w:hAnsi="Segoe UI" w:cs="Segoe UI"/>
                <w:b/>
              </w:rPr>
            </w:pPr>
            <w:r w:rsidRPr="00DD46B4">
              <w:rPr>
                <w:rFonts w:ascii="Segoe UI" w:hAnsi="Segoe UI" w:cs="Segoe UI"/>
                <w:b/>
              </w:rPr>
              <w:t>Correspondiente del XXXX al XXXX</w:t>
            </w:r>
          </w:p>
        </w:tc>
      </w:tr>
      <w:tr w:rsidR="00DD46B4" w:rsidTr="008F60E4">
        <w:trPr>
          <w:trHeight w:val="567"/>
        </w:trPr>
        <w:tc>
          <w:tcPr>
            <w:tcW w:w="3739" w:type="pct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D46B4" w:rsidRDefault="00DD46B4" w:rsidP="008F60E4">
            <w:pPr>
              <w:rPr>
                <w:rFonts w:ascii="Segoe UI" w:hAnsi="Segoe UI" w:cs="Segoe UI"/>
                <w:b/>
              </w:rPr>
            </w:pPr>
            <w:r w:rsidRPr="00DD46B4">
              <w:rPr>
                <w:rFonts w:ascii="Segoe UI" w:hAnsi="Segoe UI" w:cs="Segoe UI"/>
                <w:b/>
              </w:rPr>
              <w:t>1. Total de egresos (presupuestarios)</w:t>
            </w:r>
          </w:p>
        </w:tc>
        <w:tc>
          <w:tcPr>
            <w:tcW w:w="1261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D46B4" w:rsidRDefault="00DD46B4" w:rsidP="008F60E4">
            <w:pPr>
              <w:jc w:val="center"/>
              <w:rPr>
                <w:rFonts w:ascii="Segoe UI" w:hAnsi="Segoe UI" w:cs="Segoe UI"/>
                <w:b/>
              </w:rPr>
            </w:pPr>
            <w:r w:rsidRPr="00471F66">
              <w:rPr>
                <w:rFonts w:ascii="Segoe UI" w:hAnsi="Segoe UI" w:cs="Segoe UI"/>
                <w:b/>
              </w:rPr>
              <w:t>$XXX</w:t>
            </w:r>
          </w:p>
        </w:tc>
      </w:tr>
      <w:tr w:rsidR="00DD46B4" w:rsidRPr="008404AF" w:rsidTr="008F60E4">
        <w:trPr>
          <w:trHeight w:val="340"/>
        </w:trPr>
        <w:tc>
          <w:tcPr>
            <w:tcW w:w="2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DD46B4" w:rsidRPr="008404AF" w:rsidTr="008F60E4">
        <w:trPr>
          <w:trHeight w:val="624"/>
        </w:trPr>
        <w:tc>
          <w:tcPr>
            <w:tcW w:w="37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b/>
                <w:sz w:val="20"/>
                <w:szCs w:val="20"/>
              </w:rPr>
              <w:t>2. Menos egresos presupuestarios no contables</w:t>
            </w:r>
          </w:p>
        </w:tc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tcBorders>
              <w:top w:val="single" w:sz="4" w:space="0" w:color="auto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Mobiliario y equipo de administración</w:t>
            </w:r>
          </w:p>
        </w:tc>
        <w:tc>
          <w:tcPr>
            <w:tcW w:w="125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lastRenderedPageBreak/>
              <w:t>Mobiliario y equipo educacional y recreativo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Equipo e instrumental médico y de laboratorio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471F66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Vehículos y equipo de transporte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Equipo de defensa y seguridad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Maquinaria, otros equipos y herramientas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Activos biológicos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Bienes inmuebles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Activos intangibles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Obra pública en bienes propios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Acciones y participaciones de capital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Compra de títulos y valores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Inversiones en fideicomisos, mandatos y otros análogos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DD46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Provisiones para contingencias y otras erogaciones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D46B4">
              <w:rPr>
                <w:rFonts w:ascii="Segoe UI" w:hAnsi="Segoe UI" w:cs="Segoe UI"/>
                <w:sz w:val="20"/>
                <w:szCs w:val="20"/>
              </w:rPr>
              <w:t>especiales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Amortización de la deuda publica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Adeudos de ejercicios fiscales anteriores (ADEFAS)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tcBorders>
              <w:bottom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Otros Egresos Presupuestales No Contables</w:t>
            </w:r>
          </w:p>
        </w:tc>
        <w:tc>
          <w:tcPr>
            <w:tcW w:w="125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8404AF" w:rsidTr="00DD46B4">
        <w:trPr>
          <w:trHeight w:val="340"/>
        </w:trPr>
        <w:tc>
          <w:tcPr>
            <w:tcW w:w="2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DD46B4" w:rsidRPr="008404AF" w:rsidTr="00DD46B4">
        <w:trPr>
          <w:trHeight w:val="624"/>
        </w:trPr>
        <w:tc>
          <w:tcPr>
            <w:tcW w:w="37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b/>
                <w:sz w:val="20"/>
                <w:szCs w:val="20"/>
              </w:rPr>
              <w:t>3. Más gastos contables no presupuestales</w:t>
            </w:r>
          </w:p>
        </w:tc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6B4" w:rsidRPr="00DD46B4" w:rsidRDefault="00DD46B4" w:rsidP="008F60E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b/>
                <w:sz w:val="20"/>
                <w:szCs w:val="20"/>
              </w:rPr>
              <w:t>$XXX</w:t>
            </w: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tcBorders>
              <w:top w:val="single" w:sz="4" w:space="0" w:color="auto"/>
            </w:tcBorders>
            <w:vAlign w:val="center"/>
          </w:tcPr>
          <w:p w:rsidR="00DD46B4" w:rsidRPr="006D33B4" w:rsidRDefault="00DD46B4" w:rsidP="00DD46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Estimaciones, depreciaciones, deterioros, obsolescencia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D46B4">
              <w:rPr>
                <w:rFonts w:ascii="Segoe UI" w:hAnsi="Segoe UI" w:cs="Segoe UI"/>
                <w:sz w:val="20"/>
                <w:szCs w:val="20"/>
              </w:rPr>
              <w:t>y amortizaciones</w:t>
            </w:r>
          </w:p>
        </w:tc>
        <w:tc>
          <w:tcPr>
            <w:tcW w:w="125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lastRenderedPageBreak/>
              <w:t>Provisiones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Disminución de inventarios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DD46B4">
        <w:trPr>
          <w:trHeight w:val="624"/>
        </w:trPr>
        <w:tc>
          <w:tcPr>
            <w:tcW w:w="2487" w:type="pct"/>
            <w:vAlign w:val="center"/>
          </w:tcPr>
          <w:p w:rsidR="00DD46B4" w:rsidRPr="006D33B4" w:rsidRDefault="00DD46B4" w:rsidP="00DD46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Aumento por insuficiencia de estimaciones por pérdida o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D46B4">
              <w:rPr>
                <w:rFonts w:ascii="Segoe UI" w:hAnsi="Segoe UI" w:cs="Segoe UI"/>
                <w:sz w:val="20"/>
                <w:szCs w:val="20"/>
              </w:rPr>
              <w:t>deterioro u obsolescencia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Default="00DD46B4" w:rsidP="00DD46B4">
            <w:pPr>
              <w:jc w:val="center"/>
            </w:pPr>
            <w:r w:rsidRPr="005C2FEF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DD46B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DD46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Aumento por insuficiencia de provisiones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Default="00DD46B4" w:rsidP="00DD46B4">
            <w:pPr>
              <w:jc w:val="center"/>
            </w:pPr>
            <w:r w:rsidRPr="005C2FEF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DD46B4">
        <w:trPr>
          <w:trHeight w:val="624"/>
        </w:trPr>
        <w:tc>
          <w:tcPr>
            <w:tcW w:w="2487" w:type="pct"/>
            <w:vAlign w:val="center"/>
          </w:tcPr>
          <w:p w:rsidR="00DD46B4" w:rsidRPr="00DD46B4" w:rsidRDefault="00DD46B4" w:rsidP="00DD46B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Otros Gastos</w:t>
            </w:r>
          </w:p>
        </w:tc>
        <w:tc>
          <w:tcPr>
            <w:tcW w:w="1252" w:type="pct"/>
            <w:tcBorders>
              <w:right w:val="single" w:sz="4" w:space="0" w:color="auto"/>
            </w:tcBorders>
            <w:vAlign w:val="center"/>
          </w:tcPr>
          <w:p w:rsidR="00DD46B4" w:rsidRDefault="00DD46B4" w:rsidP="00DD46B4">
            <w:pPr>
              <w:jc w:val="center"/>
            </w:pPr>
            <w:r w:rsidRPr="005C2FEF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9222E7" w:rsidTr="008F60E4">
        <w:trPr>
          <w:trHeight w:val="624"/>
        </w:trPr>
        <w:tc>
          <w:tcPr>
            <w:tcW w:w="2487" w:type="pct"/>
            <w:tcBorders>
              <w:bottom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46B4">
              <w:rPr>
                <w:rFonts w:ascii="Segoe UI" w:hAnsi="Segoe UI" w:cs="Segoe UI"/>
                <w:sz w:val="20"/>
                <w:szCs w:val="20"/>
              </w:rPr>
              <w:t>Otros Gastos Contables No Presupuestales</w:t>
            </w:r>
          </w:p>
        </w:tc>
        <w:tc>
          <w:tcPr>
            <w:tcW w:w="125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sz w:val="20"/>
                <w:szCs w:val="20"/>
              </w:rPr>
              <w:t>$XXX</w:t>
            </w:r>
          </w:p>
        </w:tc>
        <w:tc>
          <w:tcPr>
            <w:tcW w:w="126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D46B4" w:rsidRPr="008404AF" w:rsidTr="008F60E4">
        <w:trPr>
          <w:trHeight w:val="340"/>
        </w:trPr>
        <w:tc>
          <w:tcPr>
            <w:tcW w:w="2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6B4" w:rsidRPr="006D33B4" w:rsidRDefault="00DD46B4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DD46B4" w:rsidRPr="008404AF" w:rsidTr="008F60E4">
        <w:trPr>
          <w:trHeight w:val="624"/>
        </w:trPr>
        <w:tc>
          <w:tcPr>
            <w:tcW w:w="3739" w:type="pct"/>
            <w:gridSpan w:val="2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D46B4" w:rsidRPr="006D33B4" w:rsidRDefault="003E1A8A" w:rsidP="008F60E4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3E1A8A">
              <w:rPr>
                <w:rFonts w:ascii="Segoe UI" w:hAnsi="Segoe UI" w:cs="Segoe UI"/>
                <w:b/>
                <w:sz w:val="20"/>
                <w:szCs w:val="20"/>
              </w:rPr>
              <w:t>4. Total de Gasto Contable (4 = 1 - 2 + 3)</w:t>
            </w:r>
          </w:p>
        </w:tc>
        <w:tc>
          <w:tcPr>
            <w:tcW w:w="1261" w:type="pct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D46B4" w:rsidRPr="00471F66" w:rsidRDefault="00DD46B4" w:rsidP="008F60E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1F66">
              <w:rPr>
                <w:rFonts w:ascii="Segoe UI" w:hAnsi="Segoe UI" w:cs="Segoe UI"/>
                <w:b/>
                <w:sz w:val="20"/>
                <w:szCs w:val="20"/>
              </w:rPr>
              <w:t>$XXX</w:t>
            </w:r>
          </w:p>
        </w:tc>
      </w:tr>
    </w:tbl>
    <w:p w:rsidR="00DD46B4" w:rsidRPr="00E3352E" w:rsidRDefault="00DD46B4" w:rsidP="006D33B4">
      <w:pPr>
        <w:rPr>
          <w:rFonts w:ascii="Segoe UI" w:hAnsi="Segoe UI" w:cs="Segoe UI"/>
          <w:b/>
        </w:rPr>
      </w:pPr>
    </w:p>
    <w:sectPr w:rsidR="00DD46B4" w:rsidRPr="00E335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171" w:rsidRDefault="002D1171" w:rsidP="002B135E">
      <w:pPr>
        <w:spacing w:after="0" w:line="240" w:lineRule="auto"/>
      </w:pPr>
      <w:r>
        <w:separator/>
      </w:r>
    </w:p>
  </w:endnote>
  <w:endnote w:type="continuationSeparator" w:id="0">
    <w:p w:rsidR="002D1171" w:rsidRDefault="002D1171" w:rsidP="002B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ED" w:rsidRDefault="009E56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ED" w:rsidRDefault="009E56E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ED" w:rsidRDefault="009E56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171" w:rsidRDefault="002D1171" w:rsidP="002B135E">
      <w:pPr>
        <w:spacing w:after="0" w:line="240" w:lineRule="auto"/>
      </w:pPr>
      <w:r>
        <w:separator/>
      </w:r>
    </w:p>
  </w:footnote>
  <w:footnote w:type="continuationSeparator" w:id="0">
    <w:p w:rsidR="002D1171" w:rsidRDefault="002D1171" w:rsidP="002B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ED" w:rsidRDefault="009E56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35E" w:rsidRPr="009E56ED" w:rsidRDefault="00C217F8" w:rsidP="002B135E">
    <w:pPr>
      <w:pStyle w:val="Encabezado"/>
      <w:jc w:val="right"/>
      <w:rPr>
        <w:rFonts w:ascii="Segoe UI" w:hAnsi="Segoe UI" w:cs="Segoe UI"/>
        <w:b/>
        <w:color w:val="FFFFFF" w:themeColor="background1"/>
      </w:rPr>
    </w:pPr>
    <w:bookmarkStart w:id="0" w:name="_GoBack"/>
    <w:r w:rsidRPr="009E56ED">
      <w:rPr>
        <w:rFonts w:ascii="Segoe UI" w:hAnsi="Segoe UI" w:cs="Segoe UI"/>
        <w:b/>
        <w:color w:val="FFFFFF" w:themeColor="background1"/>
      </w:rPr>
      <w:t xml:space="preserve">ANEXO </w:t>
    </w:r>
    <w:r w:rsidR="0082405F" w:rsidRPr="009E56ED">
      <w:rPr>
        <w:rFonts w:ascii="Segoe UI" w:hAnsi="Segoe UI" w:cs="Segoe UI"/>
        <w:b/>
        <w:color w:val="FFFFFF" w:themeColor="background1"/>
      </w:rPr>
      <w:t>14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ED" w:rsidRDefault="009E56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61607"/>
    <w:multiLevelType w:val="hybridMultilevel"/>
    <w:tmpl w:val="973EA57A"/>
    <w:lvl w:ilvl="0" w:tplc="E14E00D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1295D"/>
    <w:multiLevelType w:val="hybridMultilevel"/>
    <w:tmpl w:val="37B21F6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93B5E"/>
    <w:multiLevelType w:val="hybridMultilevel"/>
    <w:tmpl w:val="8FD0A27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5E"/>
    <w:rsid w:val="000E227D"/>
    <w:rsid w:val="000E650E"/>
    <w:rsid w:val="00122674"/>
    <w:rsid w:val="00165E41"/>
    <w:rsid w:val="002958F8"/>
    <w:rsid w:val="002B135E"/>
    <w:rsid w:val="002D1171"/>
    <w:rsid w:val="00372AA5"/>
    <w:rsid w:val="003E1A8A"/>
    <w:rsid w:val="003E56E7"/>
    <w:rsid w:val="00471F66"/>
    <w:rsid w:val="0050576A"/>
    <w:rsid w:val="005F14FF"/>
    <w:rsid w:val="00612922"/>
    <w:rsid w:val="00620FC2"/>
    <w:rsid w:val="006C5CA6"/>
    <w:rsid w:val="006D33B4"/>
    <w:rsid w:val="006F4476"/>
    <w:rsid w:val="0082405F"/>
    <w:rsid w:val="008404AF"/>
    <w:rsid w:val="008458AD"/>
    <w:rsid w:val="00896792"/>
    <w:rsid w:val="009222E7"/>
    <w:rsid w:val="009E56ED"/>
    <w:rsid w:val="00A977C2"/>
    <w:rsid w:val="00AB5574"/>
    <w:rsid w:val="00B401AC"/>
    <w:rsid w:val="00B46671"/>
    <w:rsid w:val="00BA3A25"/>
    <w:rsid w:val="00BF29D1"/>
    <w:rsid w:val="00C217F8"/>
    <w:rsid w:val="00CD3624"/>
    <w:rsid w:val="00D03E94"/>
    <w:rsid w:val="00D430AE"/>
    <w:rsid w:val="00D7286B"/>
    <w:rsid w:val="00DD46B4"/>
    <w:rsid w:val="00E3352E"/>
    <w:rsid w:val="00E70735"/>
    <w:rsid w:val="00F4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13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135E"/>
  </w:style>
  <w:style w:type="paragraph" w:styleId="Piedepgina">
    <w:name w:val="footer"/>
    <w:basedOn w:val="Normal"/>
    <w:link w:val="PiedepginaCar"/>
    <w:uiPriority w:val="99"/>
    <w:unhideWhenUsed/>
    <w:rsid w:val="002B13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35E"/>
  </w:style>
  <w:style w:type="table" w:styleId="Tablaconcuadrcula">
    <w:name w:val="Table Grid"/>
    <w:basedOn w:val="Tablanormal"/>
    <w:uiPriority w:val="59"/>
    <w:rsid w:val="00E33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71F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13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135E"/>
  </w:style>
  <w:style w:type="paragraph" w:styleId="Piedepgina">
    <w:name w:val="footer"/>
    <w:basedOn w:val="Normal"/>
    <w:link w:val="PiedepginaCar"/>
    <w:uiPriority w:val="99"/>
    <w:unhideWhenUsed/>
    <w:rsid w:val="002B13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35E"/>
  </w:style>
  <w:style w:type="table" w:styleId="Tablaconcuadrcula">
    <w:name w:val="Table Grid"/>
    <w:basedOn w:val="Tablanormal"/>
    <w:uiPriority w:val="59"/>
    <w:rsid w:val="00E33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71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DBE8-215A-447F-B50F-E73B5D67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557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jjarvio</dc:creator>
  <cp:lastModifiedBy>Julio César Jarvio</cp:lastModifiedBy>
  <cp:revision>26</cp:revision>
  <dcterms:created xsi:type="dcterms:W3CDTF">2016-08-23T21:35:00Z</dcterms:created>
  <dcterms:modified xsi:type="dcterms:W3CDTF">2016-12-02T18:36:00Z</dcterms:modified>
</cp:coreProperties>
</file>